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21" w:rsidRPr="00585421" w:rsidRDefault="00585421" w:rsidP="0058542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85421" w:rsidRPr="00585421" w:rsidRDefault="00585421" w:rsidP="0058542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44"/>
          <w:szCs w:val="44"/>
        </w:rPr>
      </w:pPr>
    </w:p>
    <w:p w:rsidR="00585421" w:rsidRPr="00585421" w:rsidRDefault="00585421" w:rsidP="0058542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44"/>
          <w:szCs w:val="44"/>
        </w:rPr>
      </w:pPr>
    </w:p>
    <w:p w:rsidR="00585421" w:rsidRPr="00585421" w:rsidRDefault="00585421" w:rsidP="005854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</w:pPr>
      <w:r w:rsidRPr="0058542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  <w:t>СХЕМА ТЕПЛОСНАБЖЕНИЯ ГОРОДСКОГО ОКРУГА ГОРОД БОГОТОЛ КРАСНОЯРСКОГО КРАЯ НА ПЕРИОД 2022-2031 гг.</w:t>
      </w:r>
    </w:p>
    <w:p w:rsidR="00585421" w:rsidRPr="00585421" w:rsidRDefault="00585421" w:rsidP="00585421">
      <w:pPr>
        <w:widowControl w:val="0"/>
        <w:spacing w:after="7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</w:pPr>
      <w:r w:rsidRPr="0058542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  <w:t>(АКТУАЛИЗАЦИЯ НА 2024г.)</w:t>
      </w:r>
    </w:p>
    <w:p w:rsidR="00585421" w:rsidRPr="00585421" w:rsidRDefault="00585421" w:rsidP="00585421">
      <w:pPr>
        <w:widowControl w:val="0"/>
        <w:spacing w:after="7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</w:pPr>
      <w:r w:rsidRPr="00585421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 wp14:anchorId="47728D55" wp14:editId="10A4DC4F">
            <wp:extent cx="1524000" cy="188976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52400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21" w:rsidRPr="00585421" w:rsidRDefault="00585421" w:rsidP="0058542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5854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Том 2. Обосновывающие материалы</w:t>
      </w:r>
    </w:p>
    <w:p w:rsidR="00585421" w:rsidRPr="00585421" w:rsidRDefault="00585421" w:rsidP="0058542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</w:rPr>
      </w:pPr>
      <w:r w:rsidRPr="005854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F497D"/>
          <w:sz w:val="24"/>
          <w:szCs w:val="28"/>
          <w:lang w:eastAsia="ru-RU"/>
        </w:rPr>
      </w:pPr>
    </w:p>
    <w:p w:rsidR="00585421" w:rsidRPr="00585421" w:rsidRDefault="00225053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Красноярский край</w:t>
      </w:r>
      <w:r w:rsidR="00585421" w:rsidRPr="0058542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</w:p>
    <w:p w:rsidR="00585421" w:rsidRPr="00585421" w:rsidRDefault="00225053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Боготол</w:t>
      </w:r>
      <w:bookmarkStart w:id="0" w:name="_GoBack"/>
      <w:bookmarkEnd w:id="0"/>
    </w:p>
    <w:p w:rsidR="00585421" w:rsidRPr="00585421" w:rsidRDefault="00585421" w:rsidP="00585421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8542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2023г.</w:t>
      </w:r>
    </w:p>
    <w:p w:rsidR="00585421" w:rsidRPr="00585421" w:rsidRDefault="00585421" w:rsidP="00585421">
      <w:pPr>
        <w:keepLines/>
        <w:tabs>
          <w:tab w:val="center" w:pos="4814"/>
          <w:tab w:val="left" w:pos="63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  <w:sectPr w:rsidR="00585421" w:rsidRPr="00585421" w:rsidSect="006721C1">
          <w:footerReference w:type="default" r:id="rId9"/>
          <w:pgSz w:w="11906" w:h="16838"/>
          <w:pgMar w:top="1649" w:right="1285" w:bottom="1169" w:left="1701" w:header="720" w:footer="720" w:gutter="0"/>
          <w:cols w:space="720"/>
          <w:titlePg/>
          <w:docGrid w:linePitch="381"/>
        </w:sectPr>
      </w:pPr>
    </w:p>
    <w:p w:rsidR="00585421" w:rsidRPr="00585421" w:rsidRDefault="00585421" w:rsidP="00585421">
      <w:pPr>
        <w:pageBreakBefore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lastRenderedPageBreak/>
        <w:t>СОСТАВ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3"/>
        <w:gridCol w:w="3283"/>
      </w:tblGrid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Наименование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Примечание</w:t>
            </w: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Схемы теплоснабжения городского округа город Боготол Красноярского края на период 2022-2031 гг. (Утверждаемая часть)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Электронная модель Схемы теплоснабжения городского округа город Боготол Красноярского края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 электронном носителе в формате 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ZuluGIS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(.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zmp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)</w:t>
            </w: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Обосновывающие материалы: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2 Существующее и перспективное потребление тепловой энергии на цели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3 Электронная модель системы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4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5 Мастер-план развития систем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Глава 6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теплопотребляющими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7 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8 Предложения по строительству, реконструкции и (или) модернизации тепловых сетей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Глава 9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10 Перспективные топливные балансы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11 Оценка надежности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12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13 Индикаторы развития систем теплоснабжения сельского поселения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14 Ценовые (тарифные) последствия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15 Реестр единых теплоснабжающих организаций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16 Реестр мероприятий схемы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17 Замечания и предложения к проекту схемы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585421" w:rsidRPr="00585421" w:rsidTr="006721C1">
        <w:trPr>
          <w:trHeight w:val="460"/>
        </w:trPr>
        <w:tc>
          <w:tcPr>
            <w:tcW w:w="3331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85421">
              <w:rPr>
                <w:rFonts w:ascii="Times New Roman" w:eastAsia="Times New Roman" w:hAnsi="Times New Roman" w:cs="Times New Roman"/>
                <w:sz w:val="20"/>
                <w:szCs w:val="24"/>
              </w:rPr>
              <w:t>Глава 18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69" w:type="pct"/>
            <w:tcMar>
              <w:left w:w="28" w:type="dxa"/>
              <w:right w:w="28" w:type="dxa"/>
            </w:tcMar>
            <w:vAlign w:val="center"/>
          </w:tcPr>
          <w:p w:rsidR="00585421" w:rsidRPr="00585421" w:rsidRDefault="00585421" w:rsidP="00585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br w:type="page"/>
      </w:r>
    </w:p>
    <w:sdt>
      <w:sdtPr>
        <w:rPr>
          <w:rFonts w:ascii="Times New Roman" w:eastAsia="Times New Roman" w:hAnsi="Times New Roman" w:cs="Times New Roman"/>
          <w:sz w:val="24"/>
        </w:rPr>
        <w:id w:val="981358545"/>
        <w:docPartObj>
          <w:docPartGallery w:val="Table of Contents"/>
          <w:docPartUnique/>
        </w:docPartObj>
      </w:sdtPr>
      <w:sdtEndPr/>
      <w:sdtContent>
        <w:p w:rsidR="00585421" w:rsidRPr="00585421" w:rsidRDefault="00585421" w:rsidP="00585421">
          <w:pPr>
            <w:keepNext/>
            <w:keepLines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58542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585421" w:rsidRPr="00585421" w:rsidRDefault="00585421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r w:rsidRPr="00585421">
            <w:rPr>
              <w:rFonts w:ascii="Times New Roman" w:eastAsia="Times New Roman" w:hAnsi="Times New Roman" w:cs="Times New Roman"/>
              <w:caps/>
              <w:sz w:val="20"/>
              <w:szCs w:val="20"/>
            </w:rPr>
            <w:fldChar w:fldCharType="begin"/>
          </w:r>
          <w:r w:rsidRPr="00585421">
            <w:rPr>
              <w:rFonts w:ascii="Times New Roman" w:eastAsia="Times New Roman" w:hAnsi="Times New Roman" w:cs="Times New Roman"/>
              <w:caps/>
              <w:sz w:val="20"/>
              <w:szCs w:val="20"/>
            </w:rPr>
            <w:instrText xml:space="preserve"> TOC \o "1-3" \h \z \u </w:instrText>
          </w:r>
          <w:r w:rsidRPr="00585421">
            <w:rPr>
              <w:rFonts w:ascii="Times New Roman" w:eastAsia="Times New Roman" w:hAnsi="Times New Roman" w:cs="Times New Roman"/>
              <w:caps/>
              <w:sz w:val="20"/>
              <w:szCs w:val="20"/>
            </w:rPr>
            <w:fldChar w:fldCharType="separate"/>
          </w:r>
          <w:hyperlink w:anchor="_Toc106064398" w:history="1">
            <w:r w:rsidRPr="00585421">
              <w:rPr>
                <w:rFonts w:ascii="Times New Roman" w:eastAsia="Times New Roman" w:hAnsi="Times New Roman" w:cs="Times New Roman"/>
                <w:caps/>
                <w:noProof/>
                <w:sz w:val="24"/>
                <w:u w:val="single"/>
              </w:rPr>
              <w:t>1.</w:t>
            </w:r>
            <w:r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sz w:val="24"/>
                <w:u w:val="single"/>
              </w:rPr>
              <w:t>Глава 9.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tab/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fldChar w:fldCharType="begin"/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instrText xml:space="preserve"> PAGEREF _Toc106064398 \h </w:instrText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t>4</w:t>
            </w:r>
            <w:r w:rsidRPr="00585421">
              <w:rPr>
                <w:rFonts w:ascii="Times New Roman" w:eastAsia="Times New Roman" w:hAnsi="Times New Roman" w:cs="Times New Roman"/>
                <w:caps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399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1.1.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_Toc106064399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4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400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1.2.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Выбор и обоснование метода регулирования отпуска тепловой энергии от источников тепловой энергии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_Toc106064400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5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401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1.3.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_Toc106064401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6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402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1.4.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_Toc106064402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6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403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1.5.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_Toc106064403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7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346733" w:rsidP="00585421">
          <w:pPr>
            <w:tabs>
              <w:tab w:val="right" w:leader="dot" w:pos="9344"/>
            </w:tabs>
            <w:spacing w:before="120" w:after="100" w:line="240" w:lineRule="auto"/>
            <w:jc w:val="both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106064404" w:history="1"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1.6.</w:t>
            </w:r>
            <w:r w:rsidR="00585421" w:rsidRPr="00585421">
              <w:rPr>
                <w:rFonts w:ascii="Calibri" w:eastAsia="Times New Roman" w:hAnsi="Calibri" w:cs="Times New Roman"/>
                <w:noProof/>
                <w:lang w:eastAsia="ru-RU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sz w:val="24"/>
                <w:u w:val="single"/>
              </w:rPr>
              <w:t>Предложения по источникам инвестиций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ab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instrText xml:space="preserve"> PAGEREF _Toc106064404 \h </w:instrTex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8A78CB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t>8</w:t>
            </w:r>
            <w:r w:rsidR="00585421" w:rsidRPr="00585421">
              <w:rPr>
                <w:rFonts w:ascii="Times New Roman" w:eastAsia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85421" w:rsidRPr="00585421" w:rsidRDefault="00585421" w:rsidP="00585421">
          <w:pPr>
            <w:spacing w:before="120" w:after="120" w:line="240" w:lineRule="auto"/>
            <w:jc w:val="both"/>
            <w:rPr>
              <w:rFonts w:ascii="Times New Roman" w:eastAsia="Times New Roman" w:hAnsi="Times New Roman" w:cs="Times New Roman"/>
              <w:sz w:val="24"/>
            </w:rPr>
          </w:pPr>
          <w:r w:rsidRPr="00585421">
            <w:rPr>
              <w:rFonts w:ascii="Times New Roman" w:eastAsia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85421" w:rsidRPr="00585421" w:rsidRDefault="00585421" w:rsidP="00585421">
      <w:pPr>
        <w:pageBreakBefore/>
        <w:numPr>
          <w:ilvl w:val="0"/>
          <w:numId w:val="1"/>
        </w:numPr>
        <w:spacing w:before="120"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caps/>
          <w:sz w:val="24"/>
          <w:szCs w:val="24"/>
        </w:rPr>
      </w:pPr>
      <w:bookmarkStart w:id="1" w:name="_Toc69728250"/>
      <w:bookmarkStart w:id="2" w:name="_Toc106064398"/>
      <w:r w:rsidRPr="00585421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  <w:bookmarkEnd w:id="1"/>
      <w:bookmarkEnd w:id="2"/>
    </w:p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3" w:name="_Toc69728251"/>
      <w:bookmarkStart w:id="4" w:name="_Toc106064399"/>
      <w:r w:rsidRPr="00585421">
        <w:rPr>
          <w:rFonts w:ascii="Times New Roman" w:eastAsia="Calibri" w:hAnsi="Times New Roman" w:cs="Times New Roman"/>
          <w:b/>
          <w:sz w:val="28"/>
          <w:szCs w:val="24"/>
        </w:rPr>
        <w:t xml:space="preserve">Технико-экономическое обоснование предложений по типам присоединений </w:t>
      </w:r>
      <w:proofErr w:type="spellStart"/>
      <w:r w:rsidRPr="00585421">
        <w:rPr>
          <w:rFonts w:ascii="Times New Roman" w:eastAsia="Calibri" w:hAnsi="Times New Roman" w:cs="Times New Roman"/>
          <w:b/>
          <w:sz w:val="28"/>
          <w:szCs w:val="24"/>
        </w:rPr>
        <w:t>теплопотребляющих</w:t>
      </w:r>
      <w:proofErr w:type="spellEnd"/>
      <w:r w:rsidRPr="00585421">
        <w:rPr>
          <w:rFonts w:ascii="Times New Roman" w:eastAsia="Calibri" w:hAnsi="Times New Roman" w:cs="Times New Roman"/>
          <w:b/>
          <w:sz w:val="28"/>
          <w:szCs w:val="24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3"/>
      <w:bookmarkEnd w:id="4"/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 xml:space="preserve">На сегодняшний день в городе Боготол централизованное теплоснабжение осуществляется от 8-ми источников. Основными являются 2 крупных котельных - котельная №8 и котельной ст. Боготол, узловая с протяженными и разветвленными тепловыми сетями без </w:t>
      </w:r>
      <w:proofErr w:type="spellStart"/>
      <w:r w:rsidRPr="00585421">
        <w:rPr>
          <w:rFonts w:ascii="Times New Roman" w:eastAsia="Times New Roman" w:hAnsi="Times New Roman" w:cs="Times New Roman"/>
          <w:sz w:val="24"/>
        </w:rPr>
        <w:t>закольцовок</w:t>
      </w:r>
      <w:proofErr w:type="spellEnd"/>
      <w:r w:rsidRPr="00585421">
        <w:rPr>
          <w:rFonts w:ascii="Times New Roman" w:eastAsia="Times New Roman" w:hAnsi="Times New Roman" w:cs="Times New Roman"/>
          <w:sz w:val="24"/>
        </w:rPr>
        <w:t xml:space="preserve">. Остальные источники являются автоматическими </w:t>
      </w:r>
      <w:proofErr w:type="spellStart"/>
      <w:r w:rsidRPr="00585421">
        <w:rPr>
          <w:rFonts w:ascii="Times New Roman" w:eastAsia="Times New Roman" w:hAnsi="Times New Roman" w:cs="Times New Roman"/>
          <w:sz w:val="24"/>
        </w:rPr>
        <w:t>блочно</w:t>
      </w:r>
      <w:proofErr w:type="spellEnd"/>
      <w:r w:rsidRPr="00585421">
        <w:rPr>
          <w:rFonts w:ascii="Times New Roman" w:eastAsia="Times New Roman" w:hAnsi="Times New Roman" w:cs="Times New Roman"/>
          <w:sz w:val="24"/>
        </w:rPr>
        <w:t xml:space="preserve">-модульными котельными, работающими без постоянного обслуживающего персонала и одна </w:t>
      </w:r>
      <w:proofErr w:type="spellStart"/>
      <w:r w:rsidRPr="00585421">
        <w:rPr>
          <w:rFonts w:ascii="Times New Roman" w:eastAsia="Times New Roman" w:hAnsi="Times New Roman" w:cs="Times New Roman"/>
          <w:sz w:val="24"/>
        </w:rPr>
        <w:t>электрокотельная</w:t>
      </w:r>
      <w:proofErr w:type="spellEnd"/>
      <w:r w:rsidRPr="00585421">
        <w:rPr>
          <w:rFonts w:ascii="Times New Roman" w:eastAsia="Times New Roman" w:hAnsi="Times New Roman" w:cs="Times New Roman"/>
          <w:sz w:val="24"/>
        </w:rPr>
        <w:t>, снабжающими тепловой энергией небольшие, отдаленные друг от друга районы потребителей.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 xml:space="preserve">Потребители автоматических </w:t>
      </w:r>
      <w:proofErr w:type="spellStart"/>
      <w:r w:rsidRPr="00585421">
        <w:rPr>
          <w:rFonts w:ascii="Times New Roman" w:eastAsia="Times New Roman" w:hAnsi="Times New Roman" w:cs="Times New Roman"/>
          <w:sz w:val="24"/>
        </w:rPr>
        <w:t>блочно</w:t>
      </w:r>
      <w:proofErr w:type="spellEnd"/>
      <w:r w:rsidRPr="00585421">
        <w:rPr>
          <w:rFonts w:ascii="Times New Roman" w:eastAsia="Times New Roman" w:hAnsi="Times New Roman" w:cs="Times New Roman"/>
          <w:sz w:val="24"/>
        </w:rPr>
        <w:t xml:space="preserve">-модульных котельных подключены к тепловым сетям по закрытой схеме. Потребители котельных №8 и ст. Боготол, </w:t>
      </w:r>
      <w:proofErr w:type="gramStart"/>
      <w:r w:rsidRPr="00585421">
        <w:rPr>
          <w:rFonts w:ascii="Times New Roman" w:eastAsia="Times New Roman" w:hAnsi="Times New Roman" w:cs="Times New Roman"/>
          <w:sz w:val="24"/>
        </w:rPr>
        <w:t>узловая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подключены к тепловым сетям по закрытой трехтрубной схеме через ЦТП. Для потребителей с трехтрубной системой предлагается строительство циркуляционного трубопровода лини ГВС, а также установка дополнительных циркуляционных насосов системы ГВС в ЦТП для повышения </w:t>
      </w:r>
      <w:proofErr w:type="spellStart"/>
      <w:r w:rsidRPr="00585421">
        <w:rPr>
          <w:rFonts w:ascii="Times New Roman" w:eastAsia="Times New Roman" w:hAnsi="Times New Roman" w:cs="Times New Roman"/>
          <w:sz w:val="24"/>
        </w:rPr>
        <w:t>энергоэффективности</w:t>
      </w:r>
      <w:proofErr w:type="spellEnd"/>
      <w:r w:rsidRPr="00585421">
        <w:rPr>
          <w:rFonts w:ascii="Times New Roman" w:eastAsia="Times New Roman" w:hAnsi="Times New Roman" w:cs="Times New Roman"/>
          <w:sz w:val="24"/>
        </w:rPr>
        <w:t>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>Перечень участков циркуляционных трубопроводов ГВС представлен в таблице 1.1</w:t>
      </w:r>
    </w:p>
    <w:p w:rsidR="00585421" w:rsidRPr="00585421" w:rsidRDefault="00585421" w:rsidP="00585421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0"/>
          <w:lang w:bidi="en-US"/>
        </w:rPr>
      </w:pP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 xml:space="preserve">Таблица 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begin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instrText xml:space="preserve"> STYLEREF 2 \s </w:instrTex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separate"/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t>1.1</w:t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fldChar w:fldCharType="end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>.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begin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instrText xml:space="preserve"> SEQ Таблица \* ARABIC \s 2 </w:instrTex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separate"/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t>1</w:t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fldChar w:fldCharType="end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 xml:space="preserve"> </w:t>
      </w:r>
      <w:r w:rsidRPr="00585421">
        <w:rPr>
          <w:rFonts w:ascii="Times New Roman" w:eastAsia="Calibri" w:hAnsi="Times New Roman" w:cs="Times New Roman"/>
          <w:b/>
          <w:bCs/>
          <w:color w:val="000000"/>
          <w:sz w:val="20"/>
          <w:lang w:bidi="en-US"/>
        </w:rPr>
        <w:t>Перечень участков циркуляционных трубопроводов ГВС</w:t>
      </w:r>
    </w:p>
    <w:tbl>
      <w:tblPr>
        <w:tblOverlap w:val="never"/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2609"/>
        <w:gridCol w:w="1323"/>
        <w:gridCol w:w="1729"/>
        <w:gridCol w:w="1217"/>
        <w:gridCol w:w="2379"/>
      </w:tblGrid>
      <w:tr w:rsidR="00585421" w:rsidRPr="00585421" w:rsidTr="006721C1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before="80"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Наименование участка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Диаметр трубопровода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1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Диаметр циркуляционного трубопровода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Протяженность участка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1651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Строительная конструкция в исполнении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 №4 -ТК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ТК1(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)-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14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К(</w:t>
            </w:r>
            <w:proofErr w:type="spellStart"/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)-ул. Школьная 70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ТК1(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)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-Т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К2(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)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-у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л. Кирова,18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rPr>
          <w:trHeight w:val="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ТК3(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ТК3(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ул. Кирова, 19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ТК3(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ул. Кирова,16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ТК5(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ТК5(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шк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 - ул. Кирова, 14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 №2—Т16/4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Т16/4-ТК18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ТК18 - ул. Колхозная, 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ЦТП№2-ТК17- здание №10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Воздушная/подземная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ЦТП№2-ТК17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64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ТК17 «А» - ТК30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ТК30 - ул. Сурикова, 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ТК30 - ТК27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ТК27- ул. Сурикова, 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ТК27- ул. Сурикова, 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ТК27 - ТК26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ТК26 - ул. Сурикова,1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ТК26 - ул. Сурикова, 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ТК26 - ТК25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ТК25 - ул. Сурикова, 2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ТК17 «А» - Т17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widowControl w:val="0"/>
              <w:tabs>
                <w:tab w:val="left" w:pos="44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ж/б лотках 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28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Т17 - Т сов.95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 №3 - ТК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 лотках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ТК6 «А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»-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 лотках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Т6-1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37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/1 - Т6/2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/2 - ул. Совхозная, 2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/2-ТК45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ТК45 «А» - Т45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Т45 - ул. Кирова, 133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Т45 - ТК45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ТК45 - ул. Кирова, 131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ТК45 - ТК44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ТК44 - ул. Шикунова, 118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ТК44 - ТК43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ТК43 - ул. Кирова, 129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ТК43 - ТК42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ТК42 - ул. Шикунова, 116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ТК42 - ТК41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ТК41 - ул. Кирова, 127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ТК41 - ул. Шикунова, 116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ТК41 - ТК40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ТК40 - ул. Шикунова, 114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ТК40 - ул. Кирова, 125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48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лотках /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</w:t>
            </w:r>
            <w:proofErr w:type="gramEnd"/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ЦТП №3 - ТК49/1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ТК49/1 - ТК49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ТК49 - ТК50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ТК50 - 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зд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 №2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Подземная/воздушная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ТК50 - ул. Ефремова, 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ТК50 - ТК50 «А»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ТК50 «А» - ул. Ефремова, 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Подземная/воздушная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ТК50 «А» - ТК50 «Б»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ТК50 «Б» - ул. Ефремова, 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Подземная/воздушная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ул. Ефремова, 4 - Т57/1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 лотках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Т57/1 - Т57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 лотках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Т57 - ул. Ефремова, 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116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Воздушная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 лотках</w:t>
            </w:r>
          </w:p>
        </w:tc>
      </w:tr>
      <w:tr w:rsidR="00585421" w:rsidRPr="00585421" w:rsidTr="006721C1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Кирова,135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Подземная/воздушная</w:t>
            </w:r>
          </w:p>
        </w:tc>
      </w:tr>
    </w:tbl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5" w:name="_Toc69728252"/>
      <w:bookmarkStart w:id="6" w:name="_Toc106064400"/>
      <w:r w:rsidRPr="00585421">
        <w:rPr>
          <w:rFonts w:ascii="Times New Roman" w:eastAsia="Calibri" w:hAnsi="Times New Roman" w:cs="Times New Roman"/>
          <w:b/>
          <w:sz w:val="28"/>
          <w:szCs w:val="24"/>
        </w:rPr>
        <w:t>Выбор и обоснование метода регулирования отпуска тепловой энергии от источников тепловой энергии</w:t>
      </w:r>
      <w:bookmarkEnd w:id="5"/>
      <w:bookmarkEnd w:id="6"/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Согласно СП 124.13330.2012 «Актуализированная редакция СНиП 41-02-2003»: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Основным критерием регулирования является поддержание</w:t>
      </w:r>
      <w:r w:rsidRPr="00585421">
        <w:rPr>
          <w:rFonts w:ascii="Times New Roman" w:eastAsia="Times New Roman" w:hAnsi="Times New Roman" w:cs="Times New Roman"/>
          <w:spacing w:val="-41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температурного и гидравлического режима у потребителя</w:t>
      </w:r>
      <w:r w:rsidRPr="00585421">
        <w:rPr>
          <w:rFonts w:ascii="Times New Roman" w:eastAsia="Times New Roman" w:hAnsi="Times New Roman" w:cs="Times New Roman"/>
          <w:spacing w:val="-6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тепла.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На источнике тепла следует предусматривать следующие способы регулирования:</w:t>
      </w:r>
    </w:p>
    <w:p w:rsidR="00585421" w:rsidRPr="00585421" w:rsidRDefault="00585421" w:rsidP="00585421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количественное – изменение в зависимости от температуры наружного воздуха,</w:t>
      </w:r>
      <w:r w:rsidRPr="00585421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расхода</w:t>
      </w:r>
      <w:r w:rsidRPr="00585421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теплоносителя</w:t>
      </w:r>
      <w:r w:rsidRPr="00585421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585421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тепловых</w:t>
      </w:r>
      <w:r w:rsidRPr="00585421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сетях</w:t>
      </w:r>
      <w:r w:rsidRPr="00585421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</w:t>
      </w:r>
      <w:r w:rsidRPr="00585421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выходных</w:t>
      </w:r>
      <w:r w:rsidRPr="00585421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задвижках</w:t>
      </w:r>
      <w:r w:rsidRPr="00585421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источника теплоты;</w:t>
      </w:r>
    </w:p>
    <w:p w:rsidR="00585421" w:rsidRPr="00585421" w:rsidRDefault="00585421" w:rsidP="00585421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качественное – изменение в зависимости от температуры наружного воздуха, температуры теплоносителя на источнике</w:t>
      </w:r>
      <w:r w:rsidRPr="00585421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теплоты;</w:t>
      </w:r>
    </w:p>
    <w:p w:rsidR="00585421" w:rsidRPr="00585421" w:rsidRDefault="00585421" w:rsidP="00585421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центральное качественно-количественное по совместной нагрузке отопления, вентиляции и горячего водоснабжения - путем регулирования на источнике теплоты, как температуры, так и расхода сетевой</w:t>
      </w:r>
      <w:r w:rsidRPr="00585421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воды.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При регулировании отпуска теплоты для подогрева воды в системах горячего</w:t>
      </w:r>
      <w:r w:rsidRPr="00585421">
        <w:rPr>
          <w:rFonts w:ascii="Times New Roman" w:eastAsia="Times New Roman" w:hAnsi="Times New Roman" w:cs="Times New Roman"/>
          <w:spacing w:val="-20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водоснабжения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потребителей</w:t>
      </w:r>
      <w:r w:rsidRPr="00585421">
        <w:rPr>
          <w:rFonts w:ascii="Times New Roman" w:eastAsia="Times New Roman" w:hAnsi="Times New Roman" w:cs="Times New Roman"/>
          <w:spacing w:val="-16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температура</w:t>
      </w:r>
      <w:r w:rsidRPr="00585421">
        <w:rPr>
          <w:rFonts w:ascii="Times New Roman" w:eastAsia="Times New Roman" w:hAnsi="Times New Roman" w:cs="Times New Roman"/>
          <w:spacing w:val="-19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воды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</w:t>
      </w:r>
      <w:r w:rsidRPr="00585421">
        <w:rPr>
          <w:rFonts w:ascii="Times New Roman" w:eastAsia="Times New Roman" w:hAnsi="Times New Roman" w:cs="Times New Roman"/>
          <w:spacing w:val="-19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подающем</w:t>
      </w:r>
      <w:r w:rsidRPr="00585421">
        <w:rPr>
          <w:rFonts w:ascii="Times New Roman" w:eastAsia="Times New Roman" w:hAnsi="Times New Roman" w:cs="Times New Roman"/>
          <w:spacing w:val="-13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трубопроводе должна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обеспечивать, для открытых и закрытых систем теплоснабжения, температуру горячей воды у потребителя в   диапазоне, установленном СанПиН</w:t>
      </w:r>
      <w:r w:rsidRPr="00585421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2.1.4.1074.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При центральном качественном и качественно-количественном </w:t>
      </w: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регулировании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по совместной нагрузке отопления, вентиляции и горячего водоснабжения точка излома графика температур воды в подающем и обратном трубопроводах должна приниматься при температуре наружного воздуха, соответствующей точке излома графика регулирования по нагрузке отопления.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Для раздельных водяных тепловых сетей от одного источника теплоты к предприятиям и жилым районам допускается предусматривать разные графики температур теплоносителя.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Существующие температурные графики источников теплоснабжения </w:t>
      </w: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выбрана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исходя из состояния тепловой сети и возможности источника поддерживать необходимые температурные режимы при имеющихся гидравлических параметрах работы сети.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Действующие температурные графики источников тепловой энергии приведены в Главе 1.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При закрытии системы ГВС изменения температурных графиков не планируется.</w:t>
      </w:r>
    </w:p>
    <w:p w:rsidR="00585421" w:rsidRPr="00585421" w:rsidRDefault="00585421" w:rsidP="0058542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Основным методом регулирования в системах теплоснабжения города Боготол остается качественное регулирование.</w:t>
      </w:r>
    </w:p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7" w:name="_Toc69728253"/>
      <w:bookmarkStart w:id="8" w:name="_Toc106064401"/>
      <w:r w:rsidRPr="00585421">
        <w:rPr>
          <w:rFonts w:ascii="Times New Roman" w:eastAsia="Calibri" w:hAnsi="Times New Roman" w:cs="Times New Roman"/>
          <w:b/>
          <w:sz w:val="28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7"/>
      <w:bookmarkEnd w:id="8"/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t>Дополнительных мероприятий по реконструкции тепловых сетей, кроме указанных в п.1 данного тома схемой теплоснабжения не предусматривается.</w:t>
      </w:r>
      <w:proofErr w:type="gramEnd"/>
    </w:p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9" w:name="_Toc69728254"/>
      <w:bookmarkStart w:id="10" w:name="_Toc106064402"/>
      <w:r w:rsidRPr="00585421">
        <w:rPr>
          <w:rFonts w:ascii="Times New Roman" w:eastAsia="Calibri" w:hAnsi="Times New Roman" w:cs="Times New Roman"/>
          <w:b/>
          <w:sz w:val="28"/>
          <w:szCs w:val="24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9"/>
      <w:bookmarkEnd w:id="10"/>
    </w:p>
    <w:p w:rsidR="00585421" w:rsidRPr="00585421" w:rsidRDefault="00585421" w:rsidP="00585421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bidi="en-US"/>
        </w:rPr>
      </w:pPr>
      <w:bookmarkStart w:id="11" w:name="_Hlk75907210"/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 xml:space="preserve">Таблица 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begin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instrText xml:space="preserve"> STYLEREF 2 \s </w:instrTex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separate"/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t>1.4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end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>.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begin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instrText xml:space="preserve"> SEQ Таблица \* ARABIC \s 2 </w:instrTex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separate"/>
      </w:r>
      <w:r w:rsidRPr="00585421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lang w:bidi="en-US"/>
        </w:rPr>
        <w:t>1</w:t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fldChar w:fldCharType="end"/>
      </w:r>
      <w:r w:rsidRPr="00585421">
        <w:rPr>
          <w:rFonts w:ascii="Times New Roman" w:eastAsia="Times New Roman" w:hAnsi="Times New Roman" w:cs="Times New Roman"/>
          <w:b/>
          <w:bCs/>
          <w:color w:val="000000"/>
          <w:sz w:val="20"/>
          <w:lang w:bidi="en-US"/>
        </w:rPr>
        <w:t xml:space="preserve"> </w:t>
      </w:r>
      <w:r w:rsidRPr="00585421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bidi="en-US"/>
        </w:rPr>
        <w:t>Потребность инвестиций для перевода открытой системы теплоснабжения (горячего водоснабжения) в закрытую систему горячего водоснабжения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2"/>
        <w:gridCol w:w="1627"/>
        <w:gridCol w:w="2037"/>
      </w:tblGrid>
      <w:tr w:rsidR="00585421" w:rsidRPr="00585421" w:rsidTr="00585421">
        <w:tc>
          <w:tcPr>
            <w:tcW w:w="3167" w:type="pct"/>
            <w:shd w:val="clear" w:color="auto" w:fill="auto"/>
            <w:noWrap/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строительства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Стоимость, тыс. </w:t>
            </w:r>
            <w:proofErr w:type="spellStart"/>
            <w:r w:rsidRPr="0058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58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без НДС</w:t>
            </w:r>
          </w:p>
        </w:tc>
      </w:tr>
      <w:tr w:rsidR="00585421" w:rsidRPr="00585421" w:rsidTr="00585421">
        <w:tc>
          <w:tcPr>
            <w:tcW w:w="3167" w:type="pct"/>
            <w:shd w:val="clear" w:color="auto" w:fill="auto"/>
            <w:vAlign w:val="center"/>
            <w:hideMark/>
          </w:tcPr>
          <w:p w:rsidR="00585421" w:rsidRPr="00585421" w:rsidRDefault="00585421" w:rsidP="00182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«Реконструкция сетей теплоснабжения от ЦТП №4» с переводом на 4х- трубную схему теплоснабжения для следующих потребителей: - ул. Школьная,70 (МБОУ СОШ №4); - ул. Кирова,18 (МБОУ СОШ №4); - Кирова,14: - ул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ирова,16; - ул.Советская,19,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421" w:rsidRPr="00585421" w:rsidRDefault="00585421" w:rsidP="0018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182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421" w:rsidRPr="00585421" w:rsidRDefault="001821B4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7890.12</w:t>
            </w:r>
          </w:p>
        </w:tc>
      </w:tr>
      <w:tr w:rsidR="00585421" w:rsidRPr="00585421" w:rsidTr="00585421">
        <w:tc>
          <w:tcPr>
            <w:tcW w:w="3167" w:type="pct"/>
            <w:shd w:val="clear" w:color="auto" w:fill="auto"/>
            <w:vAlign w:val="center"/>
            <w:hideMark/>
          </w:tcPr>
          <w:p w:rsidR="00585421" w:rsidRPr="00585421" w:rsidRDefault="00585421" w:rsidP="00182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сетей теплоснабжения от ЦТП №4 для подключения к ГВС следующих потребителей: - ул. Школьная, 70 (МБОУ СОШ№4); - ул. Кирова,18 ((МБОУ СОШ №4); -Кирова,14: - ул</w:t>
            </w:r>
            <w:proofErr w:type="gramStart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ирова,16; - ул.Советская,19, ул.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421" w:rsidRPr="00585421" w:rsidRDefault="00585421" w:rsidP="0018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182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</w:t>
            </w:r>
            <w:r w:rsidRPr="00585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182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421" w:rsidRPr="00585421" w:rsidRDefault="001821B4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36414.78</w:t>
            </w:r>
          </w:p>
        </w:tc>
      </w:tr>
      <w:tr w:rsidR="003D44D6" w:rsidRPr="00585421" w:rsidTr="00585421">
        <w:tc>
          <w:tcPr>
            <w:tcW w:w="3167" w:type="pct"/>
            <w:shd w:val="clear" w:color="auto" w:fill="auto"/>
            <w:vAlign w:val="center"/>
          </w:tcPr>
          <w:p w:rsidR="003D44D6" w:rsidRPr="00585421" w:rsidRDefault="003D44D6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рециркуляция ГВС от ЦТП№3; ЦТП№2для МКД: ул. Кирова,78,26,28; ул. Ефремова.2,4,6,8; ул. Колхозная,4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4D6" w:rsidRPr="00585421" w:rsidRDefault="003D44D6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4D6" w:rsidRPr="00585421" w:rsidRDefault="003D44D6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</w:tr>
      <w:tr w:rsidR="00585421" w:rsidRPr="00585421" w:rsidTr="00585421">
        <w:tc>
          <w:tcPr>
            <w:tcW w:w="3167" w:type="pct"/>
            <w:shd w:val="clear" w:color="auto" w:fill="auto"/>
            <w:vAlign w:val="center"/>
          </w:tcPr>
          <w:p w:rsidR="00585421" w:rsidRPr="00585421" w:rsidRDefault="00585421" w:rsidP="00585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54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:rsidR="00585421" w:rsidRPr="00585421" w:rsidRDefault="00585421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9" w:type="pct"/>
            <w:shd w:val="clear" w:color="auto" w:fill="auto"/>
            <w:noWrap/>
            <w:vAlign w:val="center"/>
          </w:tcPr>
          <w:p w:rsidR="00585421" w:rsidRPr="00585421" w:rsidRDefault="001821B4" w:rsidP="00585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84304.9</w:t>
            </w:r>
          </w:p>
        </w:tc>
      </w:tr>
    </w:tbl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Стоимость циркуляционных насосов определить при проектировании.</w:t>
      </w:r>
    </w:p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12" w:name="_Toc106064403"/>
      <w:bookmarkEnd w:id="11"/>
      <w:r w:rsidRPr="00585421">
        <w:rPr>
          <w:rFonts w:ascii="Times New Roman" w:eastAsia="Calibri" w:hAnsi="Times New Roman" w:cs="Times New Roman"/>
          <w:b/>
          <w:sz w:val="28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12"/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Качество горячего водоснабжения регламентируется разделом II Приложения 1 к Правилам 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РФ от 6.05.2011 г. № 354 (ред. от 27.03.2018 г., с изм. на 22.05.2019 г.)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собственникам и пользователям помещений в многоквартирных домах и жилых домов»).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Пунктом 5, раздела II, Приложения № 1 к Правилам предусмотрено обеспечение соответствия температуры горячей воды в точке </w:t>
      </w:r>
      <w:proofErr w:type="spell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водоразбора</w:t>
      </w:r>
      <w:proofErr w:type="spell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требованиям законодательства Российской Федерации о техническом регулировании (СанПиН 2.1.4.2496-09): при эксплуатации ЦГВС температура воды в местах </w:t>
      </w:r>
      <w:proofErr w:type="spell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водоразбора</w:t>
      </w:r>
      <w:proofErr w:type="spell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не должна быть ниже + 60</w:t>
      </w: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°С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, статическом давлении не менее 0,05 МПа при заполненных трубопроводах и водонагревателях водопроводной водой.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Допустимое отклонение температуры горячей воды в точке разбора: в ночное время (с 00.00 до 5.00 часов) не более чем на 5</w:t>
      </w: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°С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; в дневное время (с 5.00</w:t>
      </w:r>
      <w:r w:rsidRPr="00585421">
        <w:rPr>
          <w:rFonts w:ascii="Times New Roman" w:eastAsia="Times New Roman" w:hAnsi="Times New Roman" w:cs="Times New Roman"/>
          <w:spacing w:val="-39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до00.00 часов) не более чем на 3°С.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Пунктом 6, раздела II, Приложения № 1 к Правилам предусмотрено обеспечение соответствия состава и свойств горячей воды требованиям в точке </w:t>
      </w:r>
      <w:proofErr w:type="spell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водоразбора</w:t>
      </w:r>
      <w:proofErr w:type="spell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требованиям законодательства Российской Федерации о техническом регулировании (СанПиН 2.1.4.2496-09): отклонение состава и свойств горячей</w:t>
      </w:r>
      <w:r w:rsidRPr="00585421">
        <w:rPr>
          <w:rFonts w:ascii="Times New Roman" w:eastAsia="Times New Roman" w:hAnsi="Times New Roman" w:cs="Times New Roman"/>
          <w:spacing w:val="-35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воды от требований законодательства Российской Федерации о техническом регулировании не допускается.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Пунктом 7, раздела II, Приложения № 1 к Правилам предусмотрено обеспечение соответствия давления в системе горячего водоснабжения в точке разбора</w:t>
      </w:r>
      <w:r w:rsidRPr="00585421">
        <w:rPr>
          <w:rFonts w:ascii="Times New Roman" w:eastAsia="Times New Roman" w:hAnsi="Times New Roman" w:cs="Times New Roman"/>
          <w:spacing w:val="-13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от</w:t>
      </w:r>
      <w:r w:rsidRPr="00585421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0,03</w:t>
      </w:r>
      <w:r w:rsidRPr="00585421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МПа</w:t>
      </w:r>
      <w:r w:rsidRPr="00585421">
        <w:rPr>
          <w:rFonts w:ascii="Times New Roman" w:eastAsia="Times New Roman" w:hAnsi="Times New Roman" w:cs="Times New Roman"/>
          <w:spacing w:val="-10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(0,3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кгс/кв.</w:t>
      </w:r>
      <w:r w:rsidRPr="00585421">
        <w:rPr>
          <w:rFonts w:ascii="Times New Roman" w:eastAsia="Times New Roman" w:hAnsi="Times New Roman" w:cs="Times New Roman"/>
          <w:spacing w:val="-13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см)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до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0,45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МПа</w:t>
      </w:r>
      <w:r w:rsidRPr="00585421">
        <w:rPr>
          <w:rFonts w:ascii="Times New Roman" w:eastAsia="Times New Roman" w:hAnsi="Times New Roman" w:cs="Times New Roman"/>
          <w:spacing w:val="-13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(4,5</w:t>
      </w:r>
      <w:r w:rsidRPr="00585421">
        <w:rPr>
          <w:rFonts w:ascii="Times New Roman" w:eastAsia="Times New Roman" w:hAnsi="Times New Roman" w:cs="Times New Roman"/>
          <w:spacing w:val="-10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кгс/кв.):</w:t>
      </w:r>
      <w:r w:rsidRPr="00585421">
        <w:rPr>
          <w:rFonts w:ascii="Times New Roman" w:eastAsia="Times New Roman" w:hAnsi="Times New Roman" w:cs="Times New Roman"/>
          <w:spacing w:val="-1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отклонение</w:t>
      </w:r>
      <w:r w:rsidRPr="00585421">
        <w:rPr>
          <w:rFonts w:ascii="Times New Roman" w:eastAsia="Times New Roman" w:hAnsi="Times New Roman" w:cs="Times New Roman"/>
          <w:spacing w:val="-13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давления в системе горячего водоснабжения не</w:t>
      </w:r>
      <w:r w:rsidRPr="00585421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допускается.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 соответствии с требованиями приказа Министерства строительства и жилищно-коммунального хозяйства Российской Федерации от 4.04.2014 №162/</w:t>
      </w:r>
      <w:proofErr w:type="spellStart"/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пр</w:t>
      </w:r>
      <w:proofErr w:type="spellEnd"/>
      <w:proofErr w:type="gramEnd"/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 показателями качества горячей воды являются: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а) 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б) доля проб горячей воды в тепловой сети или в сети горячего водоснабжения, не соответствующих установленным требованиям (за</w:t>
      </w:r>
      <w:r w:rsidRPr="00585421">
        <w:rPr>
          <w:rFonts w:ascii="Times New Roman" w:eastAsia="Times New Roman" w:hAnsi="Times New Roman" w:cs="Times New Roman"/>
          <w:spacing w:val="-45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исключением температуры),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общем</w:t>
      </w:r>
      <w:r w:rsidRPr="00585421">
        <w:rPr>
          <w:rFonts w:ascii="Times New Roman" w:eastAsia="Times New Roman" w:hAnsi="Times New Roman" w:cs="Times New Roman"/>
          <w:spacing w:val="-17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объеме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проб,</w:t>
      </w:r>
      <w:r w:rsidRPr="00585421">
        <w:rPr>
          <w:rFonts w:ascii="Times New Roman" w:eastAsia="Times New Roman" w:hAnsi="Times New Roman" w:cs="Times New Roman"/>
          <w:spacing w:val="-17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отобранных</w:t>
      </w:r>
      <w:r w:rsidRPr="00585421">
        <w:rPr>
          <w:rFonts w:ascii="Times New Roman" w:eastAsia="Times New Roman" w:hAnsi="Times New Roman" w:cs="Times New Roman"/>
          <w:spacing w:val="-18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по</w:t>
      </w:r>
      <w:r w:rsidRPr="00585421">
        <w:rPr>
          <w:rFonts w:ascii="Times New Roman" w:eastAsia="Times New Roman" w:hAnsi="Times New Roman" w:cs="Times New Roman"/>
          <w:spacing w:val="-17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результатам</w:t>
      </w:r>
      <w:r w:rsidRPr="00585421">
        <w:rPr>
          <w:rFonts w:ascii="Times New Roman" w:eastAsia="Times New Roman" w:hAnsi="Times New Roman" w:cs="Times New Roman"/>
          <w:spacing w:val="-15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производственного контроля качества горячей</w:t>
      </w:r>
      <w:r w:rsidRPr="00585421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воды.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Жалобы от потребителей по качеству воды отсутствуют, теплоснабжающие организации в рамках своей производственной программы контролируют качество ГВС.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Показателями энергетической эффективности являются: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а) Уровень потерь воды (тепловой энергии в составе горячей воды).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Целевой показатель потерь воды определяется </w:t>
      </w:r>
      <w:proofErr w:type="gramStart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исходя из данных регулируемой организации об отпуске тепловой энергии и устанавливается</w:t>
      </w:r>
      <w:proofErr w:type="gramEnd"/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в процентном соотношении к фактическим показателям деятельности регулируемой организации на начало периода регулирования.</w:t>
      </w:r>
    </w:p>
    <w:p w:rsidR="00585421" w:rsidRPr="00585421" w:rsidRDefault="00585421" w:rsidP="005854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585421">
        <w:rPr>
          <w:rFonts w:ascii="Times New Roman" w:eastAsia="Times New Roman" w:hAnsi="Times New Roman" w:cs="Times New Roman"/>
          <w:sz w:val="24"/>
          <w:lang w:eastAsia="ru-RU" w:bidi="ru-RU"/>
        </w:rPr>
        <w:t>На перспективу до 2031 года предполагается снижение фактических потерь тепловой энергии за счет реализации мероприятия по перекладке ветхих сетей.</w:t>
      </w:r>
    </w:p>
    <w:p w:rsidR="00585421" w:rsidRPr="00585421" w:rsidRDefault="00585421" w:rsidP="00585421">
      <w:pPr>
        <w:numPr>
          <w:ilvl w:val="1"/>
          <w:numId w:val="1"/>
        </w:numPr>
        <w:spacing w:before="120" w:after="0" w:line="240" w:lineRule="auto"/>
        <w:ind w:left="715" w:hanging="431"/>
        <w:contextualSpacing/>
        <w:jc w:val="both"/>
        <w:outlineLvl w:val="1"/>
        <w:rPr>
          <w:rFonts w:ascii="Times New Roman" w:eastAsia="Calibri" w:hAnsi="Times New Roman" w:cs="Times New Roman"/>
          <w:b/>
          <w:sz w:val="28"/>
          <w:szCs w:val="24"/>
        </w:rPr>
      </w:pPr>
      <w:bookmarkStart w:id="13" w:name="_bookmark21"/>
      <w:bookmarkEnd w:id="13"/>
      <w:r w:rsidRPr="00585421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bookmarkStart w:id="14" w:name="_Toc106064404"/>
      <w:r w:rsidRPr="00585421">
        <w:rPr>
          <w:rFonts w:ascii="Times New Roman" w:eastAsia="Calibri" w:hAnsi="Times New Roman" w:cs="Times New Roman"/>
          <w:b/>
          <w:sz w:val="28"/>
          <w:szCs w:val="24"/>
        </w:rPr>
        <w:t>Предложения по источникам инвестиций</w:t>
      </w:r>
      <w:bookmarkStart w:id="15" w:name="_bookmark23"/>
      <w:bookmarkStart w:id="16" w:name="_bookmark24"/>
      <w:bookmarkEnd w:id="14"/>
      <w:bookmarkEnd w:id="15"/>
      <w:bookmarkEnd w:id="16"/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lastRenderedPageBreak/>
        <w:t>В соответствии с требованиями ФЗ от 07.12.2011 № 416-ФЗ «О водоснабжении и водоотведении» принятие решений о порядке и сроках прекращения ГВС с использованием открытых систем теплоснабжения (ГВС)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ГВС, входит в полномочия органов местного самоуправления.</w:t>
      </w:r>
      <w:proofErr w:type="gramEnd"/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>ФЗ от 07.12.2011 № 416-ФЗ в части рассматриваемого вопроса предусматривает:</w:t>
      </w:r>
    </w:p>
    <w:p w:rsidR="00585421" w:rsidRPr="00585421" w:rsidRDefault="00585421" w:rsidP="00585421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3 Статьи 38 Схемы водоснабжения и водоотведения (определение в соответствии с указанным ФЗ) помимо прочего должны содержать плановые значения показателей развития централизованных систем водоснабжения и водоотведения, а также решения органов местного самоуправления о прекращении ГВС с использованием открытых систем теплоснабжения (ГВС) и о переводе абонентов, объекты которых подключены (технологически присоединены) к таким системам, на иные системы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ГВС;</w:t>
      </w:r>
    </w:p>
    <w:p w:rsidR="00585421" w:rsidRPr="00585421" w:rsidRDefault="00585421" w:rsidP="00585421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8 Статьи 4 в случае, если ГВС осуществляется с использованием открытых систем теплоснабжения (ГВС), программы финансирования мероприятий по их развитию (прекращение ГВС с использованием открытых систем теплоснабжения (ГВС)  и перевод абонентов, подключенных (технологически присоединенных) к таким системам, на иные системы ГВС) включаются в утверждаемые в установленном законодательством Российской Федерации в сфере теплоснабжения порядке инвестиционные программы теплоснабжающих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организаций, при использовании источников тепловой энергии и (или) тепловых сетей которых осуществляется ГВС. Затраты на финансирование данных программ учитываются в составе тарифов в сфере теплоснабжения.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>Отношения, регулирующие порядок прекращения ГВС, осуществляемого с использованием открытых систем теплоснабжения (ГВС) в случае неудовлетворительного качества подаваемой абонентам горячей воды, рассмотрены в постановлении Правительства РФ от 29.07.2013 № 642, в частности:</w:t>
      </w:r>
    </w:p>
    <w:p w:rsidR="00585421" w:rsidRPr="00585421" w:rsidRDefault="00585421" w:rsidP="00585421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117 решение о прекращении ГВС с использованием открытых систем теплоснабжения (ГВС) и об организации перевода абонентов, подключенных (присоединенных) к таким системам, на иную систему ГВС принимается органом местного самоуправления в отношении организации, осуществляющей ГВС с использованием открытых систем теплоснабжения (ГВС);</w:t>
      </w:r>
    </w:p>
    <w:p w:rsidR="00585421" w:rsidRPr="00585421" w:rsidRDefault="00585421" w:rsidP="00585421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118 для принятия решения орган местного самоуправления в течение 3 рабочих дней со дня получения уведомления территориального органа федерального органа исполнительной власти, осуществляющего федеральный государственный санитарно-эпидемиологический надзор, о несоответствии средних уровней показателей проб горячей воды после ее приготовления нормативам качества горячей воды направляет организации, осуществляющей ГВС с использованием открытых систем теплоснабжения (ГВС), письменный запрос о представлении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585421">
        <w:rPr>
          <w:rFonts w:ascii="Times New Roman" w:eastAsia="Times New Roman" w:hAnsi="Times New Roman" w:cs="Times New Roman"/>
          <w:sz w:val="24"/>
        </w:rPr>
        <w:t>результатов технического обследования объектов и сетей открытой системы теплоснабжения (ГВС), принадлежащих на законном основании организации, осуществляющей ГВС, и ориентировочного плана мероприятий по приведению качества горячей воды в соответствие с установленными требованиями с указанием финансовых потребностей для реализации мероприятий при наличии технической возможности их проведения либо обоснования отсутствия технической возможности для проведения мероприятий.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Указанная информация </w:t>
      </w:r>
      <w:r w:rsidRPr="00585421">
        <w:rPr>
          <w:rFonts w:ascii="Times New Roman" w:eastAsia="Times New Roman" w:hAnsi="Times New Roman" w:cs="Times New Roman"/>
          <w:sz w:val="24"/>
        </w:rPr>
        <w:lastRenderedPageBreak/>
        <w:t>представляется в органы местного самоуправления в письменном виде с приложением обосновывающих документов и расчетов в течение 10 рабочих дней со дня получения соответствующего запроса;</w:t>
      </w:r>
    </w:p>
    <w:p w:rsidR="00585421" w:rsidRPr="00585421" w:rsidRDefault="00585421" w:rsidP="00585421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 xml:space="preserve">В соответствии с пунктом 119 орган местного самоуправления рассматривает представленные документы и в случае наличия технической возможности для проведения </w:t>
      </w:r>
      <w:proofErr w:type="gramStart"/>
      <w:r w:rsidRPr="00585421">
        <w:rPr>
          <w:rFonts w:ascii="Times New Roman" w:eastAsia="Times New Roman" w:hAnsi="Times New Roman" w:cs="Times New Roman"/>
          <w:sz w:val="24"/>
        </w:rPr>
        <w:t>мероприятий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на основании представленного организацией, осуществляющей ГВС с использованием открытых систем теплоснабжения (ГВС), расчета финансовых потребностей для реализации таких мероприятий вносит изменения в техническое задание на разработку или корректировку инвестиционной программы в части учета мероприятий, за исключением случая, если низкое качество горячей воды вызвано несоответствием параметров тепловой энергии (теплоносителя), используемой для приготовления горячей воды, установленным требованиям;</w:t>
      </w:r>
    </w:p>
    <w:p w:rsidR="00585421" w:rsidRPr="00585421" w:rsidRDefault="00585421" w:rsidP="00585421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120 в случае отсутствия технической возможности и (или) экономической нецелесообразности проведения мероприятий орган местного самоуправления в течение 8 рабочих дней со дня получения от организации, осуществляющей ГВС с использованием открытых систем теплоснабжения (ГВС), документов, указанных в пункте 118 Правил, направляет в такую организацию запрос о представлении информации о технической возможности перевода абонентов, подключенных к открытой системе</w:t>
      </w:r>
      <w:proofErr w:type="gramEnd"/>
      <w:r w:rsidRPr="00585421">
        <w:rPr>
          <w:rFonts w:ascii="Times New Roman" w:eastAsia="Times New Roman" w:hAnsi="Times New Roman" w:cs="Times New Roman"/>
          <w:sz w:val="24"/>
        </w:rPr>
        <w:t xml:space="preserve"> теплоснабжения (ГВС), на закрытую систему ГВС с приложением ориентировочного плана мероприятий по переводу абонентов на закрытую систему ГВС, предусматривающего финансовые потребности для реализации данных мероприятий. Указанная информация представляется в орган местного самоуправления в письменном виде с приложением обосновывающих документов и расчетов в течение 20 рабочих дней со дня получения соответствующего запроса;</w:t>
      </w:r>
    </w:p>
    <w:p w:rsidR="00585421" w:rsidRPr="00585421" w:rsidRDefault="00585421" w:rsidP="00585421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585421">
        <w:rPr>
          <w:rFonts w:ascii="Times New Roman" w:eastAsia="Times New Roman" w:hAnsi="Times New Roman" w:cs="Times New Roman"/>
          <w:sz w:val="24"/>
        </w:rPr>
        <w:t>В соответствии с пунктом 120 орган местного самоуправления до 1 июля принимает решение о порядке и сроках прекращения ГВС с использованием открытых систем теплоснабжения (ГВС) и об организации перевода абонентов, подключенных к таким системам, на иную систему ГВС (далее - решение о прекращении горячего водоснабжения с использованием открытых систем теплоснабжения).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следует сделать вывод о том, что органы местного самоуправления принимают решение о прекращении горячего водоснабжения с использованием открытых систем теплоснабжения (горячего водоснабжения) </w:t>
      </w:r>
      <w:r w:rsidRPr="00585421">
        <w:rPr>
          <w:rFonts w:ascii="Times New Roman" w:eastAsia="Times New Roman" w:hAnsi="Times New Roman" w:cs="Times New Roman"/>
          <w:b/>
          <w:sz w:val="24"/>
          <w:szCs w:val="24"/>
        </w:rPr>
        <w:t>после тщательного обследования и обоснования выбранного способа</w:t>
      </w:r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>Ключевым понятием, определяющим, кто должен оплачивать переход к закрытым системам, является «бремя собственности»: до границы балансовой принадлежности работы оплачивает собственник тепловых сетей, за границей - собственник здания. В таком случае стоимость работ по созданию или реконструкции внутридомовых сетей  ляжет на жильцов МКД.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t>С учетом вышесказанного, а также опираясь на актуальную повестку по вопросу прекращения использования систем ГВС, работающих по открытой схеме, а именно вопрос передачи полномочий по принятию решений на региональный уровень (на основании технико-экономического обоснования) следует заключить, что как на момент принятия соответствующего законодательства, так и на момент проведения настоящей актуализации Схемы вопросы планирования и финансирования мероприятий не отрегулированы на федеральном</w:t>
      </w:r>
      <w:proofErr w:type="gramEnd"/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законодательном </w:t>
      </w: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lastRenderedPageBreak/>
        <w:t>Так, в настоящий момент Департаментом развития ЖКХ министерства строительства и жилищно-коммунального хозяйства РФ (Минстрой РФ) разработан и находится на рассмотрении проект Федерального закона «О внесении изменений в Федеральный закон «О теплоснабжении» в части исключения запрета на использование централизованных открытых систем теплоснабжения (ГВС) для нужд ГВС», в соответствии с которым  нему при решение о «закрытии» систем ГВС обязательной станет оценка эффективности</w:t>
      </w:r>
      <w:proofErr w:type="gramEnd"/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 и целесообразности предполагаемых изменений по ряду параметров, без которой утверждать переход к закрытым системам ГВС будет нельзя (законопроект внесен в Правительство РФ, внесение его в Государственную Думу ожидается позднее в 2021 г.).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Поскольку организация тепло- и водоснабжения в границах поселения, муниципальных и городских округов относится к вопросам местного значения, окончательное решение данного вопроса остаётся за муниципальными образованиями. Ретроспективный анализ темпов «закрытия» открытых систем ГВС на территории РФ позволяет сделать вывод о том, что нормы, касающиеся перехода на закрытые системы ГВС, исполняются лишь в части </w:t>
      </w:r>
      <w:r w:rsidRPr="00585421">
        <w:rPr>
          <w:rFonts w:ascii="Times New Roman" w:eastAsia="Times New Roman" w:hAnsi="Times New Roman" w:cs="Times New Roman"/>
          <w:b/>
          <w:sz w:val="24"/>
          <w:szCs w:val="24"/>
        </w:rPr>
        <w:t>запрета на подключение строящихся объектов капитального строительства абонентов</w:t>
      </w:r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 к централизованным открытым системам ГВС (теплоснабжения).  Реализация запрета их использования с 1 января 2022 года для существующих объектов капитального строительства абонентов является объективно невыполнимой: с 2011 года доля многоквартирных жилых домов, получающих ГВС (теплоснабжение) по закрытой схеме, увеличилась только на 10 %, и преимущественно за счет подключения новых объектов.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>Многочисленные обращения муниципальных органов в Правительство РФ, Федеральное Собрание РФ, профильные министерства свидетельствуют о неготовности регионов к переходу на закрытую систему ГВС и, прежде всего, из-за отсутствия источников финансирования, окупаемости и, соответственно, отсутствия экономической целесообразности (окупаемости) или технологической возможности перехода.</w:t>
      </w:r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5421">
        <w:rPr>
          <w:rFonts w:ascii="Times New Roman" w:eastAsia="Times New Roman" w:hAnsi="Times New Roman" w:cs="Times New Roman"/>
          <w:sz w:val="24"/>
          <w:szCs w:val="24"/>
        </w:rPr>
        <w:t>С высокой долей вероятности, сроки «закрытия» систем ГВС, установленные в актуальной редакции ФЗ от 27.07.2010 № 190, вновь будут пересмотрены, или же ускорится принятие подготовленного Минстроем РФ законопроекта с обязательной разработкой мер по финансовому, организационному и нормативному обеспечению в случае принятии решения при разработке и утверждении Схем теплоснабжения необходимости перехода на закрытые системы ГВС.</w:t>
      </w:r>
      <w:proofErr w:type="gramEnd"/>
    </w:p>
    <w:p w:rsidR="00585421" w:rsidRPr="00585421" w:rsidRDefault="00585421" w:rsidP="0058542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переводу потребителей на </w:t>
      </w:r>
      <w:proofErr w:type="spellStart"/>
      <w:r w:rsidRPr="00585421">
        <w:rPr>
          <w:rFonts w:ascii="Times New Roman" w:eastAsia="Times New Roman" w:hAnsi="Times New Roman" w:cs="Times New Roman"/>
          <w:sz w:val="24"/>
          <w:szCs w:val="24"/>
        </w:rPr>
        <w:t>четырехтрубную</w:t>
      </w:r>
      <w:proofErr w:type="spellEnd"/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 схему с целью повышения </w:t>
      </w:r>
      <w:proofErr w:type="spellStart"/>
      <w:r w:rsidRPr="00585421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585421">
        <w:rPr>
          <w:rFonts w:ascii="Times New Roman" w:eastAsia="Times New Roman" w:hAnsi="Times New Roman" w:cs="Times New Roman"/>
          <w:sz w:val="24"/>
          <w:szCs w:val="24"/>
        </w:rPr>
        <w:t xml:space="preserve"> планируется выполнить за счет средст</w:t>
      </w:r>
      <w:r w:rsidR="006721C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6721C1">
        <w:rPr>
          <w:rFonts w:ascii="Times New Roman" w:eastAsia="Times New Roman" w:hAnsi="Times New Roman" w:cs="Times New Roman"/>
          <w:sz w:val="24"/>
          <w:szCs w:val="24"/>
        </w:rPr>
        <w:t>ресурсоснабжающей</w:t>
      </w:r>
      <w:proofErr w:type="spellEnd"/>
      <w:r w:rsidR="006721C1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и К</w:t>
      </w:r>
      <w:r w:rsidR="00AB1EF3">
        <w:rPr>
          <w:rFonts w:ascii="Times New Roman" w:eastAsia="Times New Roman" w:hAnsi="Times New Roman" w:cs="Times New Roman"/>
          <w:sz w:val="24"/>
          <w:szCs w:val="24"/>
        </w:rPr>
        <w:t>БС</w:t>
      </w:r>
    </w:p>
    <w:p w:rsidR="00585421" w:rsidRDefault="00585421"/>
    <w:sectPr w:rsidR="00585421" w:rsidSect="0058542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33" w:rsidRDefault="00346733">
      <w:pPr>
        <w:spacing w:after="0" w:line="240" w:lineRule="auto"/>
      </w:pPr>
      <w:r>
        <w:separator/>
      </w:r>
    </w:p>
  </w:endnote>
  <w:endnote w:type="continuationSeparator" w:id="0">
    <w:p w:rsidR="00346733" w:rsidRDefault="0034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381312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p w:rsidR="006721C1" w:rsidRPr="009053AE" w:rsidRDefault="006721C1" w:rsidP="006721C1">
        <w:pPr>
          <w:pStyle w:val="a3"/>
          <w:jc w:val="right"/>
          <w:rPr>
            <w:rFonts w:cs="Times New Roman"/>
            <w:szCs w:val="24"/>
          </w:rPr>
        </w:pPr>
        <w:r w:rsidRPr="009053AE">
          <w:rPr>
            <w:rFonts w:cs="Times New Roman"/>
            <w:szCs w:val="24"/>
          </w:rPr>
          <w:fldChar w:fldCharType="begin"/>
        </w:r>
        <w:r w:rsidRPr="009053AE">
          <w:rPr>
            <w:rFonts w:cs="Times New Roman"/>
            <w:szCs w:val="24"/>
          </w:rPr>
          <w:instrText>PAGE   \* MERGEFORMAT</w:instrText>
        </w:r>
        <w:r w:rsidRPr="009053AE">
          <w:rPr>
            <w:rFonts w:cs="Times New Roman"/>
            <w:szCs w:val="24"/>
          </w:rPr>
          <w:fldChar w:fldCharType="separate"/>
        </w:r>
        <w:r w:rsidR="00225053">
          <w:rPr>
            <w:rFonts w:cs="Times New Roman"/>
            <w:noProof/>
            <w:szCs w:val="24"/>
          </w:rPr>
          <w:t>2</w:t>
        </w:r>
        <w:r w:rsidRPr="009053AE">
          <w:rPr>
            <w:rFonts w:cs="Times New Roman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33" w:rsidRDefault="00346733">
      <w:pPr>
        <w:spacing w:after="0" w:line="240" w:lineRule="auto"/>
      </w:pPr>
      <w:r>
        <w:separator/>
      </w:r>
    </w:p>
  </w:footnote>
  <w:footnote w:type="continuationSeparator" w:id="0">
    <w:p w:rsidR="00346733" w:rsidRDefault="00346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0073"/>
    <w:multiLevelType w:val="hybridMultilevel"/>
    <w:tmpl w:val="F71C8F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B44345E"/>
    <w:multiLevelType w:val="multilevel"/>
    <w:tmpl w:val="8D848656"/>
    <w:numStyleLink w:val="WW8Num1"/>
  </w:abstractNum>
  <w:abstractNum w:abstractNumId="3">
    <w:nsid w:val="4DB267C6"/>
    <w:multiLevelType w:val="hybridMultilevel"/>
    <w:tmpl w:val="DF1A742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5FF20724"/>
    <w:multiLevelType w:val="hybridMultilevel"/>
    <w:tmpl w:val="5A7A8916"/>
    <w:lvl w:ilvl="0" w:tplc="7DD03994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21"/>
    <w:rsid w:val="00177142"/>
    <w:rsid w:val="001821B4"/>
    <w:rsid w:val="00225053"/>
    <w:rsid w:val="00346733"/>
    <w:rsid w:val="003D44D6"/>
    <w:rsid w:val="005518BA"/>
    <w:rsid w:val="00585421"/>
    <w:rsid w:val="006721C1"/>
    <w:rsid w:val="008A78CB"/>
    <w:rsid w:val="00AB1EF3"/>
    <w:rsid w:val="00AF771C"/>
    <w:rsid w:val="00DB5137"/>
    <w:rsid w:val="00E509C0"/>
    <w:rsid w:val="00E6384A"/>
    <w:rsid w:val="00FA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">
    <w:name w:val="Заголовок 81"/>
    <w:basedOn w:val="a"/>
    <w:next w:val="a"/>
    <w:uiPriority w:val="99"/>
    <w:unhideWhenUsed/>
    <w:qFormat/>
    <w:rsid w:val="00585421"/>
    <w:pPr>
      <w:keepNext/>
      <w:keepLines/>
      <w:numPr>
        <w:ilvl w:val="7"/>
        <w:numId w:val="2"/>
      </w:numPr>
      <w:tabs>
        <w:tab w:val="num" w:pos="360"/>
      </w:tabs>
      <w:spacing w:before="200" w:after="0"/>
      <w:ind w:left="0" w:firstLine="0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9"/>
    <w:unhideWhenUsed/>
    <w:qFormat/>
    <w:rsid w:val="00585421"/>
    <w:pPr>
      <w:keepNext/>
      <w:keepLines/>
      <w:numPr>
        <w:ilvl w:val="8"/>
        <w:numId w:val="2"/>
      </w:numPr>
      <w:tabs>
        <w:tab w:val="num" w:pos="360"/>
      </w:tabs>
      <w:spacing w:before="200" w:after="0"/>
      <w:ind w:left="0" w:firstLine="0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footer"/>
    <w:aliases w:val=" Знак1,Знак1, Знак6,Знак6"/>
    <w:basedOn w:val="a"/>
    <w:link w:val="a4"/>
    <w:uiPriority w:val="99"/>
    <w:unhideWhenUsed/>
    <w:rsid w:val="00585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4">
    <w:name w:val="Нижний колонтитул Знак"/>
    <w:aliases w:val=" Знак1 Знак,Знак1 Знак, Знак6 Знак,Знак6 Знак"/>
    <w:basedOn w:val="a0"/>
    <w:link w:val="a3"/>
    <w:uiPriority w:val="99"/>
    <w:rsid w:val="00585421"/>
    <w:rPr>
      <w:rFonts w:ascii="Times New Roman" w:eastAsia="Times New Roman" w:hAnsi="Times New Roman"/>
      <w:sz w:val="24"/>
    </w:rPr>
  </w:style>
  <w:style w:type="numbering" w:customStyle="1" w:styleId="WW8Num1">
    <w:name w:val="WW8Num1"/>
    <w:rsid w:val="00585421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58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">
    <w:name w:val="Заголовок 81"/>
    <w:basedOn w:val="a"/>
    <w:next w:val="a"/>
    <w:uiPriority w:val="99"/>
    <w:unhideWhenUsed/>
    <w:qFormat/>
    <w:rsid w:val="00585421"/>
    <w:pPr>
      <w:keepNext/>
      <w:keepLines/>
      <w:numPr>
        <w:ilvl w:val="7"/>
        <w:numId w:val="2"/>
      </w:numPr>
      <w:tabs>
        <w:tab w:val="num" w:pos="360"/>
      </w:tabs>
      <w:spacing w:before="200" w:after="0"/>
      <w:ind w:left="0" w:firstLine="0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9"/>
    <w:unhideWhenUsed/>
    <w:qFormat/>
    <w:rsid w:val="00585421"/>
    <w:pPr>
      <w:keepNext/>
      <w:keepLines/>
      <w:numPr>
        <w:ilvl w:val="8"/>
        <w:numId w:val="2"/>
      </w:numPr>
      <w:tabs>
        <w:tab w:val="num" w:pos="360"/>
      </w:tabs>
      <w:spacing w:before="200" w:after="0"/>
      <w:ind w:left="0" w:firstLine="0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paragraph" w:styleId="a3">
    <w:name w:val="footer"/>
    <w:aliases w:val=" Знак1,Знак1, Знак6,Знак6"/>
    <w:basedOn w:val="a"/>
    <w:link w:val="a4"/>
    <w:uiPriority w:val="99"/>
    <w:unhideWhenUsed/>
    <w:rsid w:val="00585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4">
    <w:name w:val="Нижний колонтитул Знак"/>
    <w:aliases w:val=" Знак1 Знак,Знак1 Знак, Знак6 Знак,Знак6 Знак"/>
    <w:basedOn w:val="a0"/>
    <w:link w:val="a3"/>
    <w:uiPriority w:val="99"/>
    <w:rsid w:val="00585421"/>
    <w:rPr>
      <w:rFonts w:ascii="Times New Roman" w:eastAsia="Times New Roman" w:hAnsi="Times New Roman"/>
      <w:sz w:val="24"/>
    </w:rPr>
  </w:style>
  <w:style w:type="numbering" w:customStyle="1" w:styleId="WW8Num1">
    <w:name w:val="WW8Num1"/>
    <w:rsid w:val="00585421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58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3742</Words>
  <Characters>21335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nostant</dc:creator>
  <cp:lastModifiedBy>Рубцов</cp:lastModifiedBy>
  <cp:revision>7</cp:revision>
  <dcterms:created xsi:type="dcterms:W3CDTF">2023-06-15T07:15:00Z</dcterms:created>
  <dcterms:modified xsi:type="dcterms:W3CDTF">2023-07-28T07:28:00Z</dcterms:modified>
</cp:coreProperties>
</file>